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12" w:rsidRDefault="009B6212"/>
    <w:tbl>
      <w:tblPr>
        <w:tblW w:w="15593" w:type="dxa"/>
        <w:tblInd w:w="-459" w:type="dxa"/>
        <w:tblLook w:val="00A0" w:firstRow="1" w:lastRow="0" w:firstColumn="1" w:lastColumn="0" w:noHBand="0" w:noVBand="0"/>
      </w:tblPr>
      <w:tblGrid>
        <w:gridCol w:w="283"/>
        <w:gridCol w:w="2892"/>
        <w:gridCol w:w="22"/>
        <w:gridCol w:w="2048"/>
        <w:gridCol w:w="1141"/>
        <w:gridCol w:w="702"/>
        <w:gridCol w:w="764"/>
        <w:gridCol w:w="1362"/>
        <w:gridCol w:w="5387"/>
        <w:gridCol w:w="992"/>
      </w:tblGrid>
      <w:tr w:rsidR="009B6212" w:rsidRPr="006C1AD6" w:rsidTr="0084434C">
        <w:trPr>
          <w:gridBefore w:val="1"/>
          <w:wBefore w:w="283" w:type="dxa"/>
        </w:trPr>
        <w:tc>
          <w:tcPr>
            <w:tcW w:w="7569" w:type="dxa"/>
            <w:gridSpan w:val="6"/>
          </w:tcPr>
          <w:p w:rsidR="009B6212" w:rsidRPr="006C1AD6" w:rsidRDefault="009B6212" w:rsidP="00AB522F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7741" w:type="dxa"/>
            <w:gridSpan w:val="3"/>
          </w:tcPr>
          <w:p w:rsidR="009B6212" w:rsidRPr="006C1AD6" w:rsidRDefault="009B6212" w:rsidP="006C1AD6">
            <w:pPr>
              <w:jc w:val="right"/>
              <w:rPr>
                <w:b/>
                <w:sz w:val="32"/>
                <w:szCs w:val="32"/>
                <w:lang w:val="uk-UA"/>
              </w:rPr>
            </w:pPr>
          </w:p>
        </w:tc>
      </w:tr>
      <w:tr w:rsidR="000633F2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1347"/>
        </w:trPr>
        <w:tc>
          <w:tcPr>
            <w:tcW w:w="14601" w:type="dxa"/>
            <w:gridSpan w:val="9"/>
          </w:tcPr>
          <w:p w:rsidR="000633F2" w:rsidRPr="000633F2" w:rsidRDefault="000633F2" w:rsidP="000633F2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</w:pP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Орг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ніз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ч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я н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ч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х д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ц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п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ін за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бо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м 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0633F2"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0633F2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д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2021-2022 навчальному році</w:t>
            </w:r>
          </w:p>
          <w:p w:rsidR="000633F2" w:rsidRPr="006C1AD6" w:rsidRDefault="000633F2" w:rsidP="0084434C">
            <w:pPr>
              <w:pStyle w:val="TableParagraph"/>
              <w:spacing w:line="276" w:lineRule="auto"/>
              <w:jc w:val="center"/>
              <w:rPr>
                <w:b/>
                <w:szCs w:val="24"/>
                <w:lang w:val="uk-UA"/>
              </w:rPr>
            </w:pPr>
            <w:r w:rsidRPr="000633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спеціальністю 0</w:t>
            </w:r>
            <w:r w:rsidR="0084434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51</w:t>
            </w:r>
            <w:r w:rsidRPr="000633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84434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Економіка</w:t>
            </w:r>
          </w:p>
        </w:tc>
      </w:tr>
      <w:tr w:rsidR="00B41E2B" w:rsidRPr="0084434C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1347"/>
        </w:trPr>
        <w:tc>
          <w:tcPr>
            <w:tcW w:w="3197" w:type="dxa"/>
            <w:gridSpan w:val="3"/>
          </w:tcPr>
          <w:p w:rsidR="00B41E2B" w:rsidRPr="006C1AD6" w:rsidRDefault="00B41E2B" w:rsidP="0084434C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Назва освітньої програми</w:t>
            </w:r>
          </w:p>
        </w:tc>
        <w:tc>
          <w:tcPr>
            <w:tcW w:w="2048" w:type="dxa"/>
          </w:tcPr>
          <w:p w:rsidR="00B41E2B" w:rsidRPr="006C1AD6" w:rsidRDefault="00B41E2B" w:rsidP="0084434C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Шифр академічної групи</w:t>
            </w:r>
          </w:p>
        </w:tc>
        <w:tc>
          <w:tcPr>
            <w:tcW w:w="1843" w:type="dxa"/>
            <w:gridSpan w:val="2"/>
          </w:tcPr>
          <w:p w:rsidR="00B41E2B" w:rsidRPr="006C1AD6" w:rsidRDefault="00B41E2B" w:rsidP="0084434C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Семестр(-и) в якому дисципліна викладається</w:t>
            </w:r>
          </w:p>
        </w:tc>
        <w:tc>
          <w:tcPr>
            <w:tcW w:w="2126" w:type="dxa"/>
            <w:gridSpan w:val="2"/>
          </w:tcPr>
          <w:p w:rsidR="00B41E2B" w:rsidRPr="006C1AD6" w:rsidRDefault="00B41E2B" w:rsidP="0084434C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Кількість дисциплін, яку потрібно обрати</w:t>
            </w:r>
          </w:p>
        </w:tc>
        <w:tc>
          <w:tcPr>
            <w:tcW w:w="5387" w:type="dxa"/>
          </w:tcPr>
          <w:p w:rsidR="00B41E2B" w:rsidRPr="006C1AD6" w:rsidRDefault="00B41E2B" w:rsidP="0084434C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Назва дисципліни (блоки з назвами дисциплін), які передбачені відповідною освітньою програмою</w:t>
            </w:r>
          </w:p>
        </w:tc>
      </w:tr>
      <w:tr w:rsidR="000633F2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631"/>
        </w:trPr>
        <w:tc>
          <w:tcPr>
            <w:tcW w:w="14601" w:type="dxa"/>
            <w:gridSpan w:val="9"/>
          </w:tcPr>
          <w:p w:rsidR="000633F2" w:rsidRPr="000633F2" w:rsidRDefault="000633F2" w:rsidP="000633F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33F2">
              <w:rPr>
                <w:b/>
                <w:sz w:val="28"/>
                <w:szCs w:val="28"/>
                <w:lang w:val="uk-UA"/>
              </w:rPr>
              <w:t>Освітній рівень бакалавр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 w:val="restart"/>
            <w:vAlign w:val="center"/>
          </w:tcPr>
          <w:p w:rsidR="0084434C" w:rsidRPr="0084434C" w:rsidRDefault="0084434C" w:rsidP="0084434C">
            <w:pPr>
              <w:jc w:val="center"/>
              <w:rPr>
                <w:b/>
                <w:szCs w:val="24"/>
                <w:lang w:val="uk-UA"/>
              </w:rPr>
            </w:pPr>
            <w:r w:rsidRPr="0084434C">
              <w:rPr>
                <w:b/>
                <w:szCs w:val="24"/>
                <w:lang w:val="uk-UA"/>
              </w:rPr>
              <w:t>Інформаційна економіка</w:t>
            </w:r>
          </w:p>
        </w:tc>
        <w:tc>
          <w:tcPr>
            <w:tcW w:w="2048" w:type="dxa"/>
            <w:vMerge w:val="restart"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6.0519-іе</w:t>
            </w:r>
          </w:p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6.0510-іес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5</w:t>
            </w:r>
          </w:p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vAlign w:val="center"/>
          </w:tcPr>
          <w:p w:rsidR="0084434C" w:rsidRPr="0084434C" w:rsidRDefault="0084434C" w:rsidP="000633F2">
            <w:pPr>
              <w:rPr>
                <w:szCs w:val="24"/>
                <w:lang w:val="uk-UA" w:eastAsia="ru-RU"/>
              </w:rPr>
            </w:pPr>
            <w:r w:rsidRPr="0084434C">
              <w:rPr>
                <w:szCs w:val="24"/>
                <w:lang w:val="uk-UA" w:eastAsia="ru-RU"/>
              </w:rPr>
              <w:t>Структура світових фінансових ринків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84434C" w:rsidRDefault="0084434C" w:rsidP="000633F2">
            <w:pPr>
              <w:rPr>
                <w:szCs w:val="24"/>
                <w:lang w:val="uk-UA" w:eastAsia="ru-RU"/>
              </w:rPr>
            </w:pPr>
            <w:r w:rsidRPr="0084434C">
              <w:rPr>
                <w:szCs w:val="24"/>
                <w:lang w:val="uk-UA" w:eastAsia="ru-RU"/>
              </w:rPr>
              <w:t>Прикладні задачі моделювання економічних процесів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84434C" w:rsidRDefault="0084434C" w:rsidP="000633F2">
            <w:pPr>
              <w:rPr>
                <w:szCs w:val="24"/>
                <w:lang w:val="uk-UA" w:eastAsia="ru-RU"/>
              </w:rPr>
            </w:pPr>
            <w:r w:rsidRPr="0084434C">
              <w:rPr>
                <w:szCs w:val="24"/>
                <w:lang w:val="uk-UA" w:eastAsia="ru-RU"/>
              </w:rPr>
              <w:t>Математичні методи економічного аналізу ринкових процесів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6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</w:tcPr>
          <w:p w:rsidR="0084434C" w:rsidRPr="0084434C" w:rsidRDefault="0084434C" w:rsidP="000633F2">
            <w:pPr>
              <w:rPr>
                <w:szCs w:val="24"/>
                <w:lang w:val="uk-UA" w:eastAsia="ru-RU"/>
              </w:rPr>
            </w:pPr>
            <w:r w:rsidRPr="0084434C">
              <w:rPr>
                <w:szCs w:val="24"/>
                <w:lang w:val="uk-UA" w:eastAsia="ru-RU"/>
              </w:rPr>
              <w:t>Експертні та інтелектуальні системи в економіці</w:t>
            </w:r>
          </w:p>
          <w:p w:rsidR="0084434C" w:rsidRPr="0084434C" w:rsidRDefault="0084434C" w:rsidP="000633F2">
            <w:pPr>
              <w:rPr>
                <w:szCs w:val="24"/>
                <w:lang w:val="uk-UA"/>
              </w:rPr>
            </w:pPr>
            <w:proofErr w:type="spellStart"/>
            <w:r w:rsidRPr="0084434C">
              <w:t>Експертні</w:t>
            </w:r>
            <w:proofErr w:type="spellEnd"/>
            <w:r w:rsidRPr="0084434C">
              <w:t xml:space="preserve"> та </w:t>
            </w:r>
            <w:proofErr w:type="spellStart"/>
            <w:r w:rsidRPr="0084434C">
              <w:t>інтелектуальні</w:t>
            </w:r>
            <w:proofErr w:type="spellEnd"/>
            <w:r w:rsidRPr="0084434C">
              <w:t xml:space="preserve"> </w:t>
            </w:r>
            <w:proofErr w:type="spellStart"/>
            <w:r w:rsidRPr="0084434C">
              <w:t>системи</w:t>
            </w:r>
            <w:proofErr w:type="spellEnd"/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84434C" w:rsidRPr="0084434C" w:rsidRDefault="0084434C" w:rsidP="000633F2">
            <w:pPr>
              <w:rPr>
                <w:szCs w:val="24"/>
                <w:lang w:val="uk-UA"/>
              </w:rPr>
            </w:pPr>
            <w:r w:rsidRPr="0084434C">
              <w:rPr>
                <w:szCs w:val="24"/>
                <w:lang w:val="uk-UA" w:eastAsia="ru-RU"/>
              </w:rPr>
              <w:t>Логічне програмування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</w:tcPr>
          <w:p w:rsidR="0084434C" w:rsidRPr="002E34A9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84434C" w:rsidRPr="002E34A9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84434C" w:rsidRDefault="0084434C" w:rsidP="000633F2">
            <w:pPr>
              <w:rPr>
                <w:szCs w:val="24"/>
                <w:lang w:val="uk-UA" w:eastAsia="ru-RU"/>
              </w:rPr>
            </w:pPr>
            <w:r w:rsidRPr="0084434C">
              <w:rPr>
                <w:szCs w:val="24"/>
                <w:lang w:val="uk-UA" w:eastAsia="ru-RU"/>
              </w:rPr>
              <w:t>Інтелектуальний аналіз даних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 w:val="restart"/>
            <w:vAlign w:val="center"/>
          </w:tcPr>
          <w:p w:rsidR="0084434C" w:rsidRPr="0084434C" w:rsidRDefault="0084434C" w:rsidP="0084434C">
            <w:pPr>
              <w:jc w:val="center"/>
              <w:rPr>
                <w:b/>
                <w:szCs w:val="24"/>
                <w:lang w:val="uk-UA"/>
              </w:rPr>
            </w:pPr>
            <w:r w:rsidRPr="0084434C">
              <w:rPr>
                <w:b/>
                <w:szCs w:val="24"/>
                <w:lang w:val="uk-UA"/>
              </w:rPr>
              <w:t>Інформаційна економіка</w:t>
            </w:r>
          </w:p>
        </w:tc>
        <w:tc>
          <w:tcPr>
            <w:tcW w:w="2048" w:type="dxa"/>
            <w:vMerge w:val="restart"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6.0510-іе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vAlign w:val="center"/>
          </w:tcPr>
          <w:p w:rsidR="0084434C" w:rsidRPr="0084434C" w:rsidRDefault="0084434C" w:rsidP="000633F2">
            <w:pPr>
              <w:rPr>
                <w:szCs w:val="24"/>
                <w:lang w:val="uk-UA" w:eastAsia="ru-RU"/>
              </w:rPr>
            </w:pPr>
            <w:r w:rsidRPr="0084434C">
              <w:rPr>
                <w:szCs w:val="24"/>
                <w:lang w:val="uk-UA" w:eastAsia="ru-RU"/>
              </w:rPr>
              <w:t xml:space="preserve">Системи обробки економічної інформації 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84434C" w:rsidRPr="006C1AD6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84434C" w:rsidRPr="006C1AD6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84434C" w:rsidRPr="006C1AD6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84434C" w:rsidRDefault="0084434C" w:rsidP="000633F2">
            <w:pPr>
              <w:rPr>
                <w:szCs w:val="24"/>
                <w:lang w:val="uk-UA" w:eastAsia="ru-RU"/>
              </w:rPr>
            </w:pPr>
            <w:r w:rsidRPr="0084434C">
              <w:rPr>
                <w:szCs w:val="24"/>
                <w:lang w:val="uk-UA" w:eastAsia="ru-RU"/>
              </w:rPr>
              <w:t>Інформаційні технології в економіці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84434C" w:rsidRPr="006C1AD6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84434C" w:rsidRPr="006C1AD6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84434C" w:rsidRPr="006C1AD6" w:rsidRDefault="0084434C" w:rsidP="000633F2">
            <w:pPr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84434C" w:rsidRDefault="0084434C" w:rsidP="000633F2">
            <w:pPr>
              <w:rPr>
                <w:szCs w:val="24"/>
                <w:lang w:val="uk-UA" w:eastAsia="ru-RU"/>
              </w:rPr>
            </w:pPr>
            <w:r w:rsidRPr="0084434C">
              <w:rPr>
                <w:szCs w:val="24"/>
                <w:lang w:val="uk-UA" w:eastAsia="ru-RU"/>
              </w:rPr>
              <w:t>Тренінг-курс «</w:t>
            </w:r>
            <w:r w:rsidRPr="0084434C">
              <w:rPr>
                <w:iCs/>
                <w:szCs w:val="24"/>
                <w:lang w:val="uk-UA"/>
              </w:rPr>
              <w:t>Інформаційна бізнес-аналітика</w:t>
            </w:r>
            <w:r w:rsidRPr="0084434C">
              <w:rPr>
                <w:szCs w:val="24"/>
                <w:lang w:val="uk-UA" w:eastAsia="ru-RU"/>
              </w:rPr>
              <w:t>»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14601" w:type="dxa"/>
            <w:gridSpan w:val="9"/>
          </w:tcPr>
          <w:p w:rsidR="0084434C" w:rsidRPr="0084434C" w:rsidRDefault="0084434C" w:rsidP="0084434C">
            <w:pPr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84434C">
              <w:rPr>
                <w:b/>
                <w:sz w:val="28"/>
                <w:szCs w:val="28"/>
                <w:lang w:val="uk-UA" w:eastAsia="ru-RU"/>
              </w:rPr>
              <w:t>Освітній рівень магістр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 w:val="restart"/>
            <w:vAlign w:val="center"/>
          </w:tcPr>
          <w:p w:rsidR="0084434C" w:rsidRPr="0084434C" w:rsidRDefault="0084434C" w:rsidP="0084434C">
            <w:pPr>
              <w:jc w:val="center"/>
              <w:rPr>
                <w:b/>
                <w:szCs w:val="24"/>
                <w:lang w:val="uk-UA"/>
              </w:rPr>
            </w:pPr>
            <w:r w:rsidRPr="0084434C">
              <w:rPr>
                <w:b/>
                <w:szCs w:val="24"/>
                <w:lang w:val="uk-UA"/>
              </w:rPr>
              <w:t>Інформаційна економіка</w:t>
            </w:r>
          </w:p>
        </w:tc>
        <w:tc>
          <w:tcPr>
            <w:tcW w:w="2070" w:type="dxa"/>
            <w:gridSpan w:val="2"/>
            <w:vMerge w:val="restart"/>
            <w:vAlign w:val="center"/>
          </w:tcPr>
          <w:p w:rsidR="0084434C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8.0510-іе</w:t>
            </w:r>
          </w:p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8.0510-іе-з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84434C" w:rsidRDefault="0084434C" w:rsidP="0084434C">
            <w:pPr>
              <w:jc w:val="center"/>
            </w:pPr>
            <w:bookmarkStart w:id="0" w:name="_GoBack"/>
            <w:bookmarkEnd w:id="0"/>
            <w:r>
              <w:rPr>
                <w:szCs w:val="24"/>
                <w:lang w:val="uk-UA"/>
              </w:rPr>
              <w:t>3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84434C" w:rsidRPr="006C1AD6" w:rsidRDefault="0084434C" w:rsidP="003C3B15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vAlign w:val="center"/>
          </w:tcPr>
          <w:p w:rsidR="0084434C" w:rsidRPr="00886A85" w:rsidRDefault="0084434C" w:rsidP="003C3B15">
            <w:pPr>
              <w:jc w:val="both"/>
              <w:rPr>
                <w:bCs/>
                <w:szCs w:val="24"/>
                <w:lang w:val="uk-UA" w:eastAsia="ru-RU"/>
              </w:rPr>
            </w:pPr>
            <w:r w:rsidRPr="00886A85">
              <w:rPr>
                <w:bCs/>
                <w:szCs w:val="24"/>
                <w:lang w:val="uk-UA" w:eastAsia="ru-RU"/>
              </w:rPr>
              <w:t>Методи та засоби інтелектуального аналізу даних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84434C" w:rsidRPr="006C1AD6" w:rsidRDefault="0084434C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</w:tcPr>
          <w:p w:rsidR="0084434C" w:rsidRDefault="0084434C" w:rsidP="003C3B15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84434C" w:rsidRPr="006C1AD6" w:rsidRDefault="0084434C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6753C1" w:rsidRDefault="0084434C" w:rsidP="003C3B15">
            <w:pPr>
              <w:jc w:val="both"/>
              <w:rPr>
                <w:szCs w:val="24"/>
                <w:lang w:val="uk-UA" w:eastAsia="ru-RU"/>
              </w:rPr>
            </w:pPr>
            <w:r>
              <w:rPr>
                <w:szCs w:val="24"/>
                <w:lang w:val="en-US" w:eastAsia="ru-RU"/>
              </w:rPr>
              <w:t>Digital</w:t>
            </w:r>
            <w:r>
              <w:rPr>
                <w:szCs w:val="24"/>
                <w:lang w:val="uk-UA" w:eastAsia="ru-RU"/>
              </w:rPr>
              <w:t> - технології в інформаційній економіці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84434C" w:rsidRPr="006C1AD6" w:rsidRDefault="0084434C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gridSpan w:val="2"/>
            <w:vMerge/>
          </w:tcPr>
          <w:p w:rsidR="0084434C" w:rsidRDefault="0084434C" w:rsidP="003C3B15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84434C" w:rsidRPr="006C1AD6" w:rsidRDefault="0084434C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C2370E" w:rsidRDefault="0084434C" w:rsidP="003C3B15">
            <w:pPr>
              <w:jc w:val="both"/>
              <w:rPr>
                <w:szCs w:val="24"/>
                <w:lang w:val="uk-UA" w:eastAsia="ru-RU"/>
              </w:rPr>
            </w:pPr>
            <w:r>
              <w:rPr>
                <w:szCs w:val="24"/>
                <w:lang w:val="uk-UA" w:eastAsia="ru-RU"/>
              </w:rPr>
              <w:t xml:space="preserve">Сучасні технології </w:t>
            </w:r>
            <w:r>
              <w:rPr>
                <w:szCs w:val="24"/>
                <w:lang w:val="en-US" w:eastAsia="ru-RU"/>
              </w:rPr>
              <w:t>BIG</w:t>
            </w:r>
            <w:r w:rsidRPr="006753C1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val="en-US" w:eastAsia="ru-RU"/>
              </w:rPr>
              <w:t>DATA</w:t>
            </w:r>
            <w:r>
              <w:rPr>
                <w:szCs w:val="24"/>
                <w:lang w:val="uk-UA" w:eastAsia="ru-RU"/>
              </w:rPr>
              <w:t xml:space="preserve"> в економічних дослідженнях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 w:val="restart"/>
            <w:vAlign w:val="center"/>
          </w:tcPr>
          <w:p w:rsidR="0084434C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8.0510-іе</w:t>
            </w:r>
          </w:p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8.0510-іе-з</w:t>
            </w:r>
          </w:p>
        </w:tc>
        <w:tc>
          <w:tcPr>
            <w:tcW w:w="1141" w:type="dxa"/>
            <w:vMerge w:val="restart"/>
            <w:vAlign w:val="center"/>
          </w:tcPr>
          <w:p w:rsidR="0084434C" w:rsidRDefault="0084434C" w:rsidP="0084434C">
            <w:pPr>
              <w:jc w:val="center"/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2828" w:type="dxa"/>
            <w:gridSpan w:val="3"/>
            <w:vMerge w:val="restart"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vAlign w:val="center"/>
          </w:tcPr>
          <w:p w:rsidR="0084434C" w:rsidRPr="00380318" w:rsidRDefault="0084434C" w:rsidP="0084434C">
            <w:pPr>
              <w:jc w:val="both"/>
              <w:rPr>
                <w:bCs/>
                <w:szCs w:val="24"/>
                <w:lang w:val="uk-UA" w:eastAsia="ru-RU"/>
              </w:rPr>
            </w:pPr>
            <w:r w:rsidRPr="00380318">
              <w:rPr>
                <w:bCs/>
                <w:szCs w:val="24"/>
                <w:lang w:val="uk-UA" w:eastAsia="ru-RU"/>
              </w:rPr>
              <w:t>Тренінг-курс з ефективності ІТ - </w:t>
            </w:r>
            <w:proofErr w:type="spellStart"/>
            <w:r w:rsidRPr="00380318">
              <w:rPr>
                <w:bCs/>
                <w:szCs w:val="24"/>
                <w:lang w:val="uk-UA" w:eastAsia="ru-RU"/>
              </w:rPr>
              <w:t>проєктів</w:t>
            </w:r>
            <w:proofErr w:type="spellEnd"/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41" w:type="dxa"/>
            <w:vMerge/>
            <w:vAlign w:val="center"/>
          </w:tcPr>
          <w:p w:rsidR="0084434C" w:rsidRDefault="0084434C" w:rsidP="0084434C">
            <w:pPr>
              <w:jc w:val="center"/>
            </w:pPr>
          </w:p>
        </w:tc>
        <w:tc>
          <w:tcPr>
            <w:tcW w:w="2828" w:type="dxa"/>
            <w:gridSpan w:val="3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Default="0084434C" w:rsidP="0084434C">
            <w:pPr>
              <w:jc w:val="both"/>
              <w:rPr>
                <w:szCs w:val="24"/>
                <w:lang w:val="uk-UA" w:eastAsia="ru-RU"/>
              </w:rPr>
            </w:pPr>
            <w:r>
              <w:rPr>
                <w:szCs w:val="24"/>
                <w:lang w:val="uk-UA" w:eastAsia="ru-RU"/>
              </w:rPr>
              <w:t>Тренінг-курс з хмарних технологій в економіці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41" w:type="dxa"/>
            <w:vMerge/>
            <w:vAlign w:val="center"/>
          </w:tcPr>
          <w:p w:rsidR="0084434C" w:rsidRDefault="0084434C" w:rsidP="0084434C">
            <w:pPr>
              <w:jc w:val="center"/>
            </w:pPr>
          </w:p>
        </w:tc>
        <w:tc>
          <w:tcPr>
            <w:tcW w:w="2828" w:type="dxa"/>
            <w:gridSpan w:val="3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Default="0084434C" w:rsidP="0084434C">
            <w:pPr>
              <w:jc w:val="both"/>
              <w:rPr>
                <w:szCs w:val="24"/>
                <w:lang w:val="uk-UA" w:eastAsia="ru-RU"/>
              </w:rPr>
            </w:pPr>
            <w:r>
              <w:rPr>
                <w:szCs w:val="24"/>
                <w:lang w:val="uk-UA" w:eastAsia="ru-RU"/>
              </w:rPr>
              <w:t>Тренінг-курс з систем автоматизованого інжинірингу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 w:val="restart"/>
            <w:vAlign w:val="center"/>
          </w:tcPr>
          <w:p w:rsidR="0084434C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8.0510-іе</w:t>
            </w:r>
          </w:p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8.0510-іе-з</w:t>
            </w:r>
          </w:p>
        </w:tc>
        <w:tc>
          <w:tcPr>
            <w:tcW w:w="1141" w:type="dxa"/>
            <w:vMerge w:val="restart"/>
            <w:vAlign w:val="center"/>
          </w:tcPr>
          <w:p w:rsidR="0084434C" w:rsidRPr="0084434C" w:rsidRDefault="0084434C" w:rsidP="008443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28" w:type="dxa"/>
            <w:gridSpan w:val="3"/>
            <w:vMerge w:val="restart"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vAlign w:val="center"/>
          </w:tcPr>
          <w:p w:rsidR="0084434C" w:rsidRPr="00380318" w:rsidRDefault="0084434C" w:rsidP="0084434C">
            <w:pPr>
              <w:jc w:val="both"/>
              <w:rPr>
                <w:bCs/>
                <w:szCs w:val="24"/>
                <w:lang w:val="uk-UA" w:eastAsia="ru-RU"/>
              </w:rPr>
            </w:pPr>
            <w:r w:rsidRPr="00380318">
              <w:rPr>
                <w:bCs/>
                <w:szCs w:val="24"/>
                <w:lang w:val="uk-UA" w:eastAsia="ru-RU"/>
              </w:rPr>
              <w:t xml:space="preserve">Прикладні моделі економічних процесів 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41" w:type="dxa"/>
            <w:vMerge/>
            <w:vAlign w:val="center"/>
          </w:tcPr>
          <w:p w:rsidR="0084434C" w:rsidRDefault="0084434C" w:rsidP="0084434C">
            <w:pPr>
              <w:jc w:val="center"/>
            </w:pPr>
          </w:p>
        </w:tc>
        <w:tc>
          <w:tcPr>
            <w:tcW w:w="2828" w:type="dxa"/>
            <w:gridSpan w:val="3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380318" w:rsidRDefault="0084434C" w:rsidP="0084434C">
            <w:pPr>
              <w:jc w:val="both"/>
              <w:rPr>
                <w:bCs/>
                <w:szCs w:val="24"/>
                <w:lang w:val="uk-UA" w:eastAsia="ru-RU"/>
              </w:rPr>
            </w:pPr>
            <w:r w:rsidRPr="00380318">
              <w:rPr>
                <w:bCs/>
                <w:szCs w:val="24"/>
                <w:lang w:val="uk-UA" w:eastAsia="ru-RU"/>
              </w:rPr>
              <w:t>Інформаційно-комунікативні системи</w:t>
            </w:r>
          </w:p>
        </w:tc>
      </w:tr>
      <w:tr w:rsidR="0084434C" w:rsidRPr="0084434C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41" w:type="dxa"/>
            <w:vMerge/>
            <w:vAlign w:val="center"/>
          </w:tcPr>
          <w:p w:rsidR="0084434C" w:rsidRDefault="0084434C" w:rsidP="0084434C">
            <w:pPr>
              <w:jc w:val="center"/>
            </w:pPr>
          </w:p>
        </w:tc>
        <w:tc>
          <w:tcPr>
            <w:tcW w:w="2828" w:type="dxa"/>
            <w:gridSpan w:val="3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380318" w:rsidRDefault="0084434C" w:rsidP="0084434C">
            <w:pPr>
              <w:jc w:val="both"/>
              <w:rPr>
                <w:bCs/>
                <w:szCs w:val="24"/>
                <w:lang w:val="uk-UA" w:eastAsia="ru-RU"/>
              </w:rPr>
            </w:pPr>
            <w:r w:rsidRPr="00380318">
              <w:rPr>
                <w:bCs/>
                <w:szCs w:val="24"/>
                <w:lang w:val="uk-UA" w:eastAsia="ru-RU"/>
              </w:rPr>
              <w:t>Організація комунікацій в інформаційній економіці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 w:val="restart"/>
            <w:vAlign w:val="center"/>
          </w:tcPr>
          <w:p w:rsidR="0084434C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8.0510-іе</w:t>
            </w:r>
          </w:p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8.0510-іе-з</w:t>
            </w:r>
          </w:p>
        </w:tc>
        <w:tc>
          <w:tcPr>
            <w:tcW w:w="1141" w:type="dxa"/>
            <w:vMerge w:val="restart"/>
            <w:vAlign w:val="center"/>
          </w:tcPr>
          <w:p w:rsidR="0084434C" w:rsidRDefault="0084434C" w:rsidP="0084434C">
            <w:pPr>
              <w:jc w:val="center"/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2828" w:type="dxa"/>
            <w:gridSpan w:val="3"/>
            <w:vMerge w:val="restart"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vAlign w:val="center"/>
          </w:tcPr>
          <w:p w:rsidR="0084434C" w:rsidRPr="00380318" w:rsidRDefault="0084434C" w:rsidP="0084434C">
            <w:pPr>
              <w:jc w:val="both"/>
              <w:rPr>
                <w:bCs/>
                <w:szCs w:val="24"/>
                <w:lang w:val="uk-UA" w:eastAsia="ru-RU"/>
              </w:rPr>
            </w:pPr>
            <w:proofErr w:type="spellStart"/>
            <w:r w:rsidRPr="00380318">
              <w:rPr>
                <w:bCs/>
                <w:szCs w:val="24"/>
                <w:lang w:val="uk-UA" w:eastAsia="ru-RU"/>
              </w:rPr>
              <w:t>Кросплатформенна</w:t>
            </w:r>
            <w:proofErr w:type="spellEnd"/>
            <w:r w:rsidRPr="00380318">
              <w:rPr>
                <w:bCs/>
                <w:szCs w:val="24"/>
                <w:lang w:val="uk-UA" w:eastAsia="ru-RU"/>
              </w:rPr>
              <w:t xml:space="preserve"> розробка спеціалізованих мобільних додатків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41" w:type="dxa"/>
            <w:vMerge/>
          </w:tcPr>
          <w:p w:rsidR="0084434C" w:rsidRDefault="0084434C" w:rsidP="0084434C">
            <w:pPr>
              <w:jc w:val="center"/>
            </w:pPr>
          </w:p>
        </w:tc>
        <w:tc>
          <w:tcPr>
            <w:tcW w:w="2828" w:type="dxa"/>
            <w:gridSpan w:val="3"/>
            <w:vMerge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380318" w:rsidRDefault="0084434C" w:rsidP="0084434C">
            <w:pPr>
              <w:jc w:val="both"/>
              <w:rPr>
                <w:bCs/>
                <w:szCs w:val="24"/>
                <w:lang w:val="uk-UA" w:eastAsia="ru-RU"/>
              </w:rPr>
            </w:pPr>
            <w:r w:rsidRPr="00380318">
              <w:rPr>
                <w:bCs/>
                <w:szCs w:val="24"/>
                <w:lang w:val="uk-UA" w:eastAsia="ru-RU"/>
              </w:rPr>
              <w:t>Корпоративні інформаційні системи</w:t>
            </w:r>
          </w:p>
        </w:tc>
      </w:tr>
      <w:tr w:rsidR="0084434C" w:rsidRPr="006C1AD6" w:rsidTr="0084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141" w:type="dxa"/>
            <w:vMerge/>
          </w:tcPr>
          <w:p w:rsidR="0084434C" w:rsidRDefault="0084434C" w:rsidP="0084434C">
            <w:pPr>
              <w:jc w:val="center"/>
            </w:pPr>
          </w:p>
        </w:tc>
        <w:tc>
          <w:tcPr>
            <w:tcW w:w="2828" w:type="dxa"/>
            <w:gridSpan w:val="3"/>
            <w:vMerge/>
            <w:vAlign w:val="center"/>
          </w:tcPr>
          <w:p w:rsidR="0084434C" w:rsidRPr="006C1AD6" w:rsidRDefault="0084434C" w:rsidP="0084434C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4434C" w:rsidRPr="00380318" w:rsidRDefault="0084434C" w:rsidP="0084434C">
            <w:pPr>
              <w:jc w:val="both"/>
              <w:rPr>
                <w:bCs/>
                <w:szCs w:val="24"/>
                <w:lang w:val="uk-UA" w:eastAsia="ru-RU"/>
              </w:rPr>
            </w:pPr>
            <w:r w:rsidRPr="00380318">
              <w:rPr>
                <w:bCs/>
                <w:szCs w:val="24"/>
                <w:lang w:val="uk-UA" w:eastAsia="ru-RU"/>
              </w:rPr>
              <w:t>Інформаційне управління підтримки прийняття рішень в економіці</w:t>
            </w:r>
          </w:p>
        </w:tc>
      </w:tr>
    </w:tbl>
    <w:p w:rsidR="00C240C9" w:rsidRDefault="00C240C9" w:rsidP="007570CE">
      <w:pPr>
        <w:jc w:val="right"/>
        <w:rPr>
          <w:sz w:val="28"/>
          <w:szCs w:val="28"/>
          <w:lang w:val="uk-UA"/>
        </w:rPr>
      </w:pPr>
    </w:p>
    <w:sectPr w:rsidR="00C240C9" w:rsidSect="0032703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121"/>
    <w:rsid w:val="0000006E"/>
    <w:rsid w:val="00012526"/>
    <w:rsid w:val="000347A4"/>
    <w:rsid w:val="000443C3"/>
    <w:rsid w:val="000633F2"/>
    <w:rsid w:val="00067014"/>
    <w:rsid w:val="000845FC"/>
    <w:rsid w:val="000D2300"/>
    <w:rsid w:val="000D607F"/>
    <w:rsid w:val="000E36CB"/>
    <w:rsid w:val="00117C54"/>
    <w:rsid w:val="001273C4"/>
    <w:rsid w:val="0015661F"/>
    <w:rsid w:val="00165B4C"/>
    <w:rsid w:val="001D4965"/>
    <w:rsid w:val="001E77BE"/>
    <w:rsid w:val="00202695"/>
    <w:rsid w:val="00216E62"/>
    <w:rsid w:val="00232ABF"/>
    <w:rsid w:val="002406B8"/>
    <w:rsid w:val="00241E4E"/>
    <w:rsid w:val="00281187"/>
    <w:rsid w:val="002D5EE9"/>
    <w:rsid w:val="002E34A9"/>
    <w:rsid w:val="002F385D"/>
    <w:rsid w:val="002F69A3"/>
    <w:rsid w:val="002F7A1A"/>
    <w:rsid w:val="00311CBA"/>
    <w:rsid w:val="00327036"/>
    <w:rsid w:val="0037552B"/>
    <w:rsid w:val="0038016B"/>
    <w:rsid w:val="00380318"/>
    <w:rsid w:val="0039012E"/>
    <w:rsid w:val="003C053A"/>
    <w:rsid w:val="003C3B15"/>
    <w:rsid w:val="003C4BCC"/>
    <w:rsid w:val="003D5C7B"/>
    <w:rsid w:val="003D75B4"/>
    <w:rsid w:val="00403D11"/>
    <w:rsid w:val="00410316"/>
    <w:rsid w:val="004610BC"/>
    <w:rsid w:val="0048163B"/>
    <w:rsid w:val="00483125"/>
    <w:rsid w:val="004961FE"/>
    <w:rsid w:val="004963AD"/>
    <w:rsid w:val="004C03FD"/>
    <w:rsid w:val="004F35EA"/>
    <w:rsid w:val="00511147"/>
    <w:rsid w:val="005157EC"/>
    <w:rsid w:val="0053120D"/>
    <w:rsid w:val="0053197E"/>
    <w:rsid w:val="00536285"/>
    <w:rsid w:val="00555862"/>
    <w:rsid w:val="00591B39"/>
    <w:rsid w:val="005B4C5C"/>
    <w:rsid w:val="005C79C9"/>
    <w:rsid w:val="005D4C08"/>
    <w:rsid w:val="0063600E"/>
    <w:rsid w:val="006753C1"/>
    <w:rsid w:val="0068697A"/>
    <w:rsid w:val="006942D6"/>
    <w:rsid w:val="00696FE3"/>
    <w:rsid w:val="006A7181"/>
    <w:rsid w:val="006B0A36"/>
    <w:rsid w:val="006B0EC6"/>
    <w:rsid w:val="006B4186"/>
    <w:rsid w:val="006B6AFD"/>
    <w:rsid w:val="006C1AD6"/>
    <w:rsid w:val="006D5474"/>
    <w:rsid w:val="006E4A5F"/>
    <w:rsid w:val="0070205F"/>
    <w:rsid w:val="007021B5"/>
    <w:rsid w:val="00722FDC"/>
    <w:rsid w:val="007545C1"/>
    <w:rsid w:val="007570CE"/>
    <w:rsid w:val="007A5121"/>
    <w:rsid w:val="007A734F"/>
    <w:rsid w:val="007B5DFC"/>
    <w:rsid w:val="007C3F88"/>
    <w:rsid w:val="007C6AB4"/>
    <w:rsid w:val="007E5B75"/>
    <w:rsid w:val="007F7BB8"/>
    <w:rsid w:val="008016A1"/>
    <w:rsid w:val="00830642"/>
    <w:rsid w:val="0084434C"/>
    <w:rsid w:val="00844590"/>
    <w:rsid w:val="00854056"/>
    <w:rsid w:val="008771A3"/>
    <w:rsid w:val="00880A09"/>
    <w:rsid w:val="00886A85"/>
    <w:rsid w:val="0089458F"/>
    <w:rsid w:val="008E5175"/>
    <w:rsid w:val="00904999"/>
    <w:rsid w:val="00994C51"/>
    <w:rsid w:val="009A6F5F"/>
    <w:rsid w:val="009B6212"/>
    <w:rsid w:val="009C5675"/>
    <w:rsid w:val="009D3669"/>
    <w:rsid w:val="009D4C3E"/>
    <w:rsid w:val="009E2EAC"/>
    <w:rsid w:val="00A11C24"/>
    <w:rsid w:val="00A93486"/>
    <w:rsid w:val="00AB522F"/>
    <w:rsid w:val="00AD504A"/>
    <w:rsid w:val="00AE0C7D"/>
    <w:rsid w:val="00AF44FF"/>
    <w:rsid w:val="00B41E2B"/>
    <w:rsid w:val="00B6737D"/>
    <w:rsid w:val="00B72F0C"/>
    <w:rsid w:val="00BB7DAB"/>
    <w:rsid w:val="00BD05E4"/>
    <w:rsid w:val="00BE15CD"/>
    <w:rsid w:val="00BE3955"/>
    <w:rsid w:val="00BF2525"/>
    <w:rsid w:val="00C2370E"/>
    <w:rsid w:val="00C240C9"/>
    <w:rsid w:val="00C744EB"/>
    <w:rsid w:val="00C963CA"/>
    <w:rsid w:val="00CA0A37"/>
    <w:rsid w:val="00CA4585"/>
    <w:rsid w:val="00CC38E4"/>
    <w:rsid w:val="00CC6A2B"/>
    <w:rsid w:val="00CF361C"/>
    <w:rsid w:val="00D2078F"/>
    <w:rsid w:val="00D23C66"/>
    <w:rsid w:val="00D4583C"/>
    <w:rsid w:val="00D76562"/>
    <w:rsid w:val="00D84088"/>
    <w:rsid w:val="00DB01AD"/>
    <w:rsid w:val="00DD0B75"/>
    <w:rsid w:val="00DD742B"/>
    <w:rsid w:val="00DE7294"/>
    <w:rsid w:val="00E007C1"/>
    <w:rsid w:val="00E0617B"/>
    <w:rsid w:val="00E80657"/>
    <w:rsid w:val="00EA6D67"/>
    <w:rsid w:val="00EF7D55"/>
    <w:rsid w:val="00F3149C"/>
    <w:rsid w:val="00F33017"/>
    <w:rsid w:val="00F41756"/>
    <w:rsid w:val="00F71E37"/>
    <w:rsid w:val="00F746F8"/>
    <w:rsid w:val="00F81CD7"/>
    <w:rsid w:val="00F83F18"/>
    <w:rsid w:val="00FA51D6"/>
    <w:rsid w:val="00FA7557"/>
    <w:rsid w:val="00FE691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A200A-5792-49F1-8A88-B9B8D09E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6"/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9348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93486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F35EA"/>
    <w:pPr>
      <w:widowControl w:val="0"/>
    </w:pPr>
    <w:rPr>
      <w:rFonts w:ascii="Calibri" w:hAnsi="Calibri"/>
      <w:sz w:val="22"/>
      <w:lang w:val="en-US"/>
    </w:rPr>
  </w:style>
  <w:style w:type="paragraph" w:customStyle="1" w:styleId="11">
    <w:name w:val="Абзац списка1"/>
    <w:basedOn w:val="a"/>
    <w:uiPriority w:val="99"/>
    <w:rsid w:val="007570CE"/>
    <w:pPr>
      <w:spacing w:after="160" w:line="259" w:lineRule="auto"/>
      <w:ind w:left="720"/>
      <w:contextualSpacing/>
    </w:pPr>
    <w:rPr>
      <w:rFonts w:ascii="Calibri" w:eastAsia="Times New Roman" w:hAnsi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6B6A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B6AFD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uiPriority w:val="99"/>
    <w:semiHidden/>
    <w:unhideWhenUsed/>
    <w:rsid w:val="003C3B15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4963A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_Міське будівництво і господарство______</vt:lpstr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_Міське будівництво і господарство______</dc:title>
  <dc:subject/>
  <dc:creator>user</dc:creator>
  <cp:keywords/>
  <dc:description/>
  <cp:lastModifiedBy>Таня</cp:lastModifiedBy>
  <cp:revision>32</cp:revision>
  <cp:lastPrinted>2021-02-01T15:16:00Z</cp:lastPrinted>
  <dcterms:created xsi:type="dcterms:W3CDTF">2021-01-26T08:18:00Z</dcterms:created>
  <dcterms:modified xsi:type="dcterms:W3CDTF">2021-04-13T21:04:00Z</dcterms:modified>
</cp:coreProperties>
</file>