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491" w:rsidRDefault="000A1491" w:rsidP="000A1491">
      <w:pPr>
        <w:tabs>
          <w:tab w:val="left" w:pos="360"/>
          <w:tab w:val="num" w:pos="1440"/>
        </w:tabs>
        <w:ind w:left="-1080"/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</w:rPr>
        <w:t>БЕЗПЕКА ДОРОЖНЬОГО РУХУ</w:t>
      </w:r>
    </w:p>
    <w:p w:rsidR="000A1491" w:rsidRDefault="000A1491" w:rsidP="000A1491">
      <w:pPr>
        <w:tabs>
          <w:tab w:val="left" w:pos="360"/>
          <w:tab w:val="num" w:pos="1440"/>
        </w:tabs>
        <w:ind w:left="-1080"/>
        <w:jc w:val="center"/>
        <w:rPr>
          <w:b/>
          <w:i/>
          <w:sz w:val="32"/>
          <w:szCs w:val="32"/>
          <w:lang w:val="uk-UA"/>
        </w:rPr>
      </w:pPr>
    </w:p>
    <w:p w:rsidR="000A1491" w:rsidRDefault="000A1491" w:rsidP="000A1491">
      <w:pPr>
        <w:tabs>
          <w:tab w:val="left" w:pos="360"/>
          <w:tab w:val="num" w:pos="1440"/>
        </w:tabs>
        <w:ind w:left="-1080"/>
        <w:jc w:val="center"/>
        <w:rPr>
          <w:b/>
          <w:sz w:val="28"/>
          <w:szCs w:val="28"/>
        </w:rPr>
      </w:pPr>
    </w:p>
    <w:p w:rsidR="000A1491" w:rsidRDefault="000A1491" w:rsidP="000A1491">
      <w:pPr>
        <w:tabs>
          <w:tab w:val="left" w:pos="360"/>
          <w:tab w:val="num" w:pos="1440"/>
        </w:tabs>
        <w:ind w:left="-10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1.Обов'язки  і права пішоходів.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1.1.Пішоходи повинні рухатися по тротуарах і пішохідних доріжках, тримаючись правої сторони.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1.2.За межами населених пунктів пішоходи, що пересуваються по узбіччю чи краю проїжджої частини, повинні йти назустріч руху транспортного засобу.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1.3.У темну пору доби та в умовах недостатньої видимості пішоходи повинні вжити заходів для того, щоб чітко виділити себе на проїжджій частині  або  узбіччі.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1.4.Пішоходи повинні переходити проїжджу частину по пішохідних переходах (підземних, наземних), а у разі їх відсутності на перехрестях-по лініях тротуарів або узбіч.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1.5.Якщо в зоні видимості немає переходу або перехрестя, а дорога має не більше трьох смуг руху для обох його напрямків, дозволяється переходити її під прямим кутом до краю проїжджої частини та у місцях, де дорогу добре видно з двох сторін і лише після того, як пішохід оцінить відстань до транспортного засобу, який наближається, його швидкість та впевниться у відсутності безпеки.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1.6.У місцях, де рух регулюється, пішоходи повинні керуватися сигналами регулювальника або світлофора.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1.7.Пішоходи, які не встигли перейти через дорогу, повинні перебувати на острівці безпеки або лінії, що розділяє транспортні потоки протилежних напрямків, і можуть продовжити перехід лише переконавшись у безпеці подальшого руху.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1.8.Перед виходом на проїжджу частину з-за транспортних засобів, які стоять, пішоходи повинні впевнитись у відсутності транспортних засобів, які наближаються.</w:t>
      </w:r>
    </w:p>
    <w:p w:rsidR="000A1491" w:rsidRDefault="000A1491" w:rsidP="000A1491">
      <w:pPr>
        <w:tabs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1.9.Чекати транспортний засіб пішоходи повинні на тротуарах, посадочних майданчиках, а там де вони відсутні - на узбіччі, не створюючи перешкод для дорожнього руху.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1.10.На трамвайних зупинках, не обладнаних посадочними майданчиками, пішоходам дозволяється виходити на проїжджу частину тільки після зупинки трамвая.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1.11.Пішохід має право переходити проїжджу частину позначеними нерегульованими пішохідними переходами, а також регульованими переходами, за наявності на те відповідного сигналу регулювальника або світлофора.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1.12.Пішоходам </w:t>
      </w:r>
      <w:r>
        <w:rPr>
          <w:b/>
          <w:i/>
          <w:sz w:val="28"/>
          <w:szCs w:val="28"/>
          <w:lang w:val="uk-UA"/>
        </w:rPr>
        <w:t>забороняється</w:t>
      </w:r>
      <w:r>
        <w:rPr>
          <w:i/>
          <w:sz w:val="28"/>
          <w:szCs w:val="28"/>
          <w:lang w:val="uk-UA"/>
        </w:rPr>
        <w:t>: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виходити на проїжджу частину, не впевнившись у відсутності небезпеки для себе та інших учасників руху;</w:t>
      </w:r>
    </w:p>
    <w:p w:rsidR="000A1491" w:rsidRDefault="000A1491" w:rsidP="000A1491">
      <w:pPr>
        <w:pStyle w:val="a3"/>
        <w:ind w:left="0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- переходити проїжджу частину поза пішохідним переходом, якщо є розділювальна смуга або дорога має чотири та більше смуг для руху в обох напрямках, а також у місцях, де встановлено огородження;</w:t>
      </w:r>
    </w:p>
    <w:p w:rsidR="000A1491" w:rsidRDefault="000A1491" w:rsidP="000A1491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 xml:space="preserve">користуватися мобільними телефоном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 час здійснення переходу проїжджої частини;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затримуватися й зупинятися на проїжджій частині, якщо це не пов’язано із забезпеченням безпеки дорожнього руху.</w:t>
      </w:r>
    </w:p>
    <w:p w:rsidR="000A1491" w:rsidRDefault="000A1491" w:rsidP="000A1491">
      <w:pPr>
        <w:tabs>
          <w:tab w:val="left" w:pos="360"/>
          <w:tab w:val="left" w:pos="54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1.13.У разі причетності пішохода до дорожньо-транспортної пригоди він повинен надати можливу допомогу потерпілим, повідомити органи міліції про пригоду та необхідні дані про себе, перебуваючи на місці до прибуття працівників міліції.</w:t>
      </w:r>
    </w:p>
    <w:p w:rsidR="000A1491" w:rsidRDefault="000A1491" w:rsidP="000A1491">
      <w:pPr>
        <w:tabs>
          <w:tab w:val="left" w:pos="360"/>
          <w:tab w:val="left" w:pos="540"/>
        </w:tabs>
        <w:ind w:left="180"/>
        <w:jc w:val="both"/>
        <w:rPr>
          <w:sz w:val="28"/>
          <w:szCs w:val="28"/>
          <w:lang w:val="uk-UA"/>
        </w:rPr>
      </w:pPr>
    </w:p>
    <w:p w:rsidR="000A1491" w:rsidRDefault="000A1491" w:rsidP="000A1491">
      <w:pPr>
        <w:tabs>
          <w:tab w:val="left" w:pos="360"/>
          <w:tab w:val="left" w:pos="540"/>
        </w:tabs>
        <w:ind w:left="1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2. Обов'язки і права пасажирів</w:t>
      </w:r>
    </w:p>
    <w:p w:rsidR="000A1491" w:rsidRDefault="000A1491" w:rsidP="000A1491">
      <w:pPr>
        <w:numPr>
          <w:ilvl w:val="1"/>
          <w:numId w:val="1"/>
        </w:numPr>
        <w:tabs>
          <w:tab w:val="clear" w:pos="360"/>
          <w:tab w:val="num" w:pos="142"/>
          <w:tab w:val="left" w:pos="540"/>
        </w:tabs>
        <w:ind w:left="142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. Посадку (висадку) дозволяється здійснювати пасажирам після зупинки транспортного засобу лише зі спеціально </w:t>
      </w:r>
      <w:proofErr w:type="spellStart"/>
      <w:r>
        <w:rPr>
          <w:sz w:val="28"/>
          <w:szCs w:val="28"/>
          <w:lang w:val="uk-UA"/>
        </w:rPr>
        <w:t>облаштованого</w:t>
      </w:r>
      <w:proofErr w:type="spellEnd"/>
      <w:r>
        <w:rPr>
          <w:sz w:val="28"/>
          <w:szCs w:val="28"/>
          <w:lang w:val="uk-UA"/>
        </w:rPr>
        <w:t xml:space="preserve"> майданчика, а в разі відсутності такого майданчика – тротуару чи узбіччя, якщо це неможливо то з крайньої смуги проїжджої частини (але не з боку суміжної смуги для руху) за умови, що це буде безпечно та не створить перешкод іншим учасникам руху.</w:t>
      </w:r>
    </w:p>
    <w:p w:rsidR="000A1491" w:rsidRDefault="000A1491" w:rsidP="000A1491">
      <w:pPr>
        <w:tabs>
          <w:tab w:val="left" w:pos="540"/>
        </w:tabs>
        <w:ind w:firstLine="142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2.2.Пасажири </w:t>
      </w:r>
      <w:r>
        <w:rPr>
          <w:b/>
          <w:i/>
          <w:sz w:val="28"/>
          <w:szCs w:val="28"/>
          <w:lang w:val="uk-UA"/>
        </w:rPr>
        <w:t>повинні: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сидіти або стояти (якщо це дозволено) в призначених для цього місцях, тримаючись за поручень або інше пристосування;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 час пересування на транспортному засобі, обладнаному ременями безпеки, бути пристебнутими, а на мотоциклі – в застебнутому шоломі.</w:t>
      </w:r>
    </w:p>
    <w:p w:rsidR="000A1491" w:rsidRDefault="000A1491" w:rsidP="000A1491">
      <w:pPr>
        <w:tabs>
          <w:tab w:val="left" w:pos="540"/>
        </w:tabs>
        <w:ind w:firstLine="142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2.3.Пасажирам </w:t>
      </w:r>
      <w:r>
        <w:rPr>
          <w:b/>
          <w:i/>
          <w:sz w:val="28"/>
          <w:szCs w:val="28"/>
          <w:lang w:val="uk-UA"/>
        </w:rPr>
        <w:t>забороняється: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під час руху  транспортного засобу відвертати увагу водія від керування  та заважати йому в цьому;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відчиняти двері транспортного засобу, не переконавшись, що він зупинився біля тротуару, посадочного майданчика, краю проїжджої частини або узбіччя;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перешкоджати зачиненню дверей та використовувати для їзди підніжки й виступи транспортних засобів;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2.4.У разі дорожньо-транспортної пригоди пасажир повинен подати можливу допомогу потерпілим і повідомити про транспортну пригоду  відповідні органи (тел. 102 – міліція, тел. 103 – швидка медична допомога). 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2.5.Пасажир під час користування транспортними засобами має право на: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безпечне перевезення себе і багажу;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відшкодування завданих збитків;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отримання своєчасної і точної інформації про умови і порядок руху.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</w:p>
    <w:p w:rsidR="000A1491" w:rsidRDefault="000A1491" w:rsidP="000A1491">
      <w:pPr>
        <w:tabs>
          <w:tab w:val="left" w:pos="360"/>
        </w:tabs>
        <w:ind w:left="1080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3. Обов’язки пасажирів на річковому транспорті.</w:t>
      </w:r>
    </w:p>
    <w:p w:rsidR="000A1491" w:rsidRDefault="000A1491" w:rsidP="000A1491">
      <w:pPr>
        <w:numPr>
          <w:ilvl w:val="1"/>
          <w:numId w:val="2"/>
        </w:numPr>
        <w:tabs>
          <w:tab w:val="left" w:pos="540"/>
        </w:tabs>
        <w:ind w:hanging="57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об’яви посадки не заходити на причал.</w:t>
      </w:r>
    </w:p>
    <w:p w:rsidR="000A1491" w:rsidRDefault="000A1491" w:rsidP="000A1491">
      <w:pPr>
        <w:numPr>
          <w:ilvl w:val="1"/>
          <w:numId w:val="2"/>
        </w:numPr>
        <w:tabs>
          <w:tab w:val="left" w:pos="54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перегинатися через парапет набережної, не влазити на нього.</w:t>
      </w:r>
    </w:p>
    <w:p w:rsidR="000A1491" w:rsidRDefault="000A1491" w:rsidP="000A1491">
      <w:pPr>
        <w:numPr>
          <w:ilvl w:val="1"/>
          <w:numId w:val="2"/>
        </w:numPr>
        <w:tabs>
          <w:tab w:val="left" w:pos="54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посадці й висадці не штовхати один одного, не створювати колотнечі, не розхитувати трап.</w:t>
      </w:r>
    </w:p>
    <w:p w:rsidR="000A1491" w:rsidRDefault="000A1491" w:rsidP="000A1491">
      <w:pPr>
        <w:numPr>
          <w:ilvl w:val="1"/>
          <w:numId w:val="2"/>
        </w:numPr>
        <w:tabs>
          <w:tab w:val="left" w:pos="54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руху річкового транспорту не перегинатися через перила.</w:t>
      </w:r>
    </w:p>
    <w:p w:rsidR="000A1491" w:rsidRDefault="000A1491" w:rsidP="000A1491">
      <w:pPr>
        <w:numPr>
          <w:ilvl w:val="1"/>
          <w:numId w:val="2"/>
        </w:numPr>
        <w:tabs>
          <w:tab w:val="left" w:pos="54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залишати своїх місць до повної зупинки транспортного засобу.</w:t>
      </w:r>
    </w:p>
    <w:p w:rsidR="000A1491" w:rsidRDefault="000A1491" w:rsidP="000A1491">
      <w:pPr>
        <w:tabs>
          <w:tab w:val="left" w:pos="540"/>
        </w:tabs>
        <w:ind w:left="180"/>
        <w:jc w:val="both"/>
        <w:rPr>
          <w:sz w:val="28"/>
          <w:szCs w:val="28"/>
          <w:lang w:val="uk-UA"/>
        </w:rPr>
      </w:pPr>
    </w:p>
    <w:p w:rsidR="000A1491" w:rsidRDefault="000A1491" w:rsidP="000A1491">
      <w:pPr>
        <w:numPr>
          <w:ilvl w:val="0"/>
          <w:numId w:val="2"/>
        </w:numPr>
        <w:tabs>
          <w:tab w:val="left" w:pos="360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Вимоги до водіїв мопедів і велосипедів.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4.1.Рухатися по проїжджій частині на мопедах дозволяється особам, які досягли 16-річного, на велосипедах – 14 річного віку.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4.2.Водії мопедів і велосипедів повинні мати карту з інформацією про себе. Форма картки встановлюється місцевими органами державної виконавчої влади і органами місцевого самоврядування.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4.3.Мопеди і велосипеди повинні бути обладнані </w:t>
      </w:r>
      <w:proofErr w:type="spellStart"/>
      <w:r>
        <w:rPr>
          <w:sz w:val="28"/>
          <w:szCs w:val="28"/>
          <w:lang w:val="uk-UA"/>
        </w:rPr>
        <w:t>світлоповертачами</w:t>
      </w:r>
      <w:proofErr w:type="spellEnd"/>
      <w:r>
        <w:rPr>
          <w:sz w:val="28"/>
          <w:szCs w:val="28"/>
          <w:lang w:val="uk-UA"/>
        </w:rPr>
        <w:t>: з переду – білого кольору, по бокам – помаранчевого, ззаду – червоного.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4.4.Для руху в темну пору доби та в умовах недостатньої видимості на мопеді необхідно увімкнути освітлення, а на велосипеді – ліхтар (фару).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4.5.Водії мопедів і велосипедів, рухаючись групами, повинні їхати один  за одним, щоб не заважати іншим учасникам дорожнього руху.</w:t>
      </w:r>
    </w:p>
    <w:p w:rsidR="000A1491" w:rsidRDefault="000A1491" w:rsidP="000A1491">
      <w:pPr>
        <w:tabs>
          <w:tab w:val="left" w:pos="360"/>
        </w:tabs>
        <w:ind w:left="18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Колона велосипедистів, що рухається по проїжджій частині, повинна бути розділена на групи по 10 велосипедистів з відстанню між групами 80-100м.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4.6.Водії мопедів і велосипедів можуть перевозити лише такі вантажі, які не заважають керувати транспортним засобам і не створюватимуть перешкод іншим учасникам дорожнього руху.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4.7.Якщо велосипедна доріжка перетинає дорогу за перехрестям, то водії мопедів і велосипедів зобов’язані дати дорогу іншим транспортним засобам, що рухаються по дорозі.</w:t>
      </w:r>
    </w:p>
    <w:p w:rsidR="000A1491" w:rsidRDefault="000A1491" w:rsidP="000A1491">
      <w:pPr>
        <w:tabs>
          <w:tab w:val="left" w:pos="360"/>
        </w:tabs>
        <w:ind w:left="180" w:hanging="38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4.8.Водіям мопедів і велосипедів </w:t>
      </w:r>
      <w:r>
        <w:rPr>
          <w:b/>
          <w:i/>
          <w:sz w:val="28"/>
          <w:szCs w:val="28"/>
          <w:lang w:val="uk-UA"/>
        </w:rPr>
        <w:t>забороняється: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керувати мопедом (велосипедом) з несправними гальмами і звуковим сигналом, а також без освітлення у темну пору доби та в умовах недостатньої видимості;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рухатися по проїжджій частині, коли поруч є велосипедна доріжка;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рухатися по тротуарах і пішохідних доріжках (крім дітей на дитячих велосипедах під наглядом дорослих);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під час руху триматися за інший транспортний засіб;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їздити, не тримаючись за руль та знімати ноги з педалей (підніжок);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перевозити пасажирів, за винятком дітей до 7-річного віку, на додатковому сидінні, обладнаному надійно закріпленими підніжками;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буксирування мопедів і велосипедів;</w:t>
      </w:r>
    </w:p>
    <w:p w:rsidR="000A1491" w:rsidRDefault="000A1491" w:rsidP="000A1491">
      <w:pPr>
        <w:tabs>
          <w:tab w:val="left" w:pos="360"/>
        </w:tabs>
        <w:ind w:left="1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буксирування причепа, крім того, який призначений для експлуатації з цими транспортними засобами.</w:t>
      </w:r>
    </w:p>
    <w:p w:rsidR="000A1491" w:rsidRDefault="000A1491" w:rsidP="000A1491">
      <w:pPr>
        <w:rPr>
          <w:lang w:val="uk-UA"/>
        </w:rPr>
      </w:pPr>
    </w:p>
    <w:p w:rsidR="00A929AD" w:rsidRPr="000A1491" w:rsidRDefault="00A929AD">
      <w:pPr>
        <w:rPr>
          <w:lang w:val="uk-UA"/>
        </w:rPr>
      </w:pPr>
      <w:bookmarkStart w:id="0" w:name="_GoBack"/>
      <w:bookmarkEnd w:id="0"/>
    </w:p>
    <w:sectPr w:rsidR="00A929AD" w:rsidRPr="000A1491" w:rsidSect="000A14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67D4E"/>
    <w:multiLevelType w:val="multilevel"/>
    <w:tmpl w:val="E92AB1A4"/>
    <w:lvl w:ilvl="0">
      <w:start w:val="3"/>
      <w:numFmt w:val="decimal"/>
      <w:lvlText w:val="%1.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">
    <w:nsid w:val="6F08487A"/>
    <w:multiLevelType w:val="multilevel"/>
    <w:tmpl w:val="4BD2459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BC6"/>
    <w:rsid w:val="000A1491"/>
    <w:rsid w:val="007C6BC6"/>
    <w:rsid w:val="00A9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A1491"/>
    <w:pPr>
      <w:tabs>
        <w:tab w:val="left" w:pos="360"/>
        <w:tab w:val="left" w:pos="540"/>
      </w:tabs>
      <w:ind w:left="18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A149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4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0A1491"/>
    <w:pPr>
      <w:tabs>
        <w:tab w:val="left" w:pos="360"/>
        <w:tab w:val="left" w:pos="540"/>
      </w:tabs>
      <w:ind w:left="180"/>
      <w:jc w:val="both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0A1491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0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4246</Words>
  <Characters>2421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userznu</dc:creator>
  <cp:keywords/>
  <dc:description/>
  <cp:lastModifiedBy>userznu</cp:lastModifiedBy>
  <cp:revision>3</cp:revision>
  <dcterms:created xsi:type="dcterms:W3CDTF">2015-02-20T12:31:00Z</dcterms:created>
  <dcterms:modified xsi:type="dcterms:W3CDTF">2015-02-20T12:31:00Z</dcterms:modified>
</cp:coreProperties>
</file>